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17" w:rsidRDefault="00270117">
      <w:pPr>
        <w:pStyle w:val="Ttulo"/>
        <w:spacing w:after="0"/>
        <w:contextualSpacing w:val="0"/>
        <w:rPr>
          <w:sz w:val="32"/>
          <w:szCs w:val="32"/>
        </w:rPr>
      </w:pPr>
    </w:p>
    <w:p w:rsidR="00270117" w:rsidRDefault="00405D35">
      <w:pPr>
        <w:pStyle w:val="Ttulo"/>
        <w:contextualSpacing w:val="0"/>
        <w:rPr>
          <w:rFonts w:ascii="Century Gothic" w:eastAsia="Century Gothic" w:hAnsi="Century Gothic" w:cs="Century Gothic"/>
          <w:sz w:val="52"/>
          <w:szCs w:val="52"/>
        </w:rPr>
      </w:pPr>
      <w:r>
        <w:rPr>
          <w:rFonts w:ascii="Century Gothic" w:eastAsia="Century Gothic" w:hAnsi="Century Gothic" w:cs="Century Gothic"/>
          <w:sz w:val="52"/>
          <w:szCs w:val="52"/>
        </w:rPr>
        <w:t>1</w:t>
      </w:r>
      <w:r>
        <w:rPr>
          <w:rFonts w:ascii="Century Gothic" w:eastAsia="Century Gothic" w:hAnsi="Century Gothic" w:cs="Century Gothic"/>
          <w:sz w:val="52"/>
          <w:szCs w:val="52"/>
          <w:vertAlign w:val="superscript"/>
        </w:rPr>
        <w:t>a</w:t>
      </w:r>
      <w:r>
        <w:rPr>
          <w:rFonts w:ascii="Century Gothic" w:eastAsia="Century Gothic" w:hAnsi="Century Gothic" w:cs="Century Gothic"/>
          <w:sz w:val="52"/>
          <w:szCs w:val="52"/>
        </w:rPr>
        <w:t xml:space="preserve"> Reunião de Coordenadores</w:t>
      </w:r>
    </w:p>
    <w:p w:rsidR="00270117" w:rsidRDefault="00405D35">
      <w:pPr>
        <w:pStyle w:val="Ttulo1"/>
        <w:spacing w:before="0" w:after="0"/>
        <w:contextualSpacing w:val="0"/>
        <w:rPr>
          <w:rFonts w:ascii="Century Gothic" w:eastAsia="Century Gothic" w:hAnsi="Century Gothic" w:cs="Century Gothic"/>
          <w:b w:val="0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Data:</w:t>
      </w:r>
      <w:r>
        <w:rPr>
          <w:rFonts w:ascii="Century Gothic" w:eastAsia="Century Gothic" w:hAnsi="Century Gothic" w:cs="Century Gothic"/>
          <w:b w:val="0"/>
          <w:color w:val="000000"/>
          <w:sz w:val="24"/>
          <w:szCs w:val="24"/>
        </w:rPr>
        <w:t xml:space="preserve"> 19 de julho de 2017</w:t>
      </w:r>
      <w:r>
        <w:rPr>
          <w:rFonts w:ascii="Century Gothic" w:eastAsia="Century Gothic" w:hAnsi="Century Gothic" w:cs="Century Gothic"/>
          <w:b w:val="0"/>
          <w:color w:val="000000"/>
          <w:sz w:val="24"/>
          <w:szCs w:val="24"/>
        </w:rPr>
        <w:br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Local:</w:t>
      </w:r>
      <w:r>
        <w:rPr>
          <w:rFonts w:ascii="Century Gothic" w:eastAsia="Century Gothic" w:hAnsi="Century Gothic" w:cs="Century Gothic"/>
          <w:b w:val="0"/>
          <w:color w:val="000000"/>
          <w:sz w:val="24"/>
          <w:szCs w:val="24"/>
        </w:rPr>
        <w:t xml:space="preserve">  Palácio do Planalto - Brasília</w:t>
      </w:r>
    </w:p>
    <w:p w:rsidR="00270117" w:rsidRDefault="00270117">
      <w:pPr>
        <w:pStyle w:val="Ttulo1"/>
        <w:spacing w:before="0" w:after="0"/>
        <w:contextualSpacing w:val="0"/>
        <w:rPr>
          <w:rFonts w:ascii="Century Gothic" w:eastAsia="Century Gothic" w:hAnsi="Century Gothic" w:cs="Century Gothic"/>
          <w:b w:val="0"/>
          <w:color w:val="000000"/>
          <w:sz w:val="24"/>
          <w:szCs w:val="24"/>
        </w:rPr>
      </w:pPr>
    </w:p>
    <w:p w:rsidR="00270117" w:rsidRDefault="00405D35">
      <w:pPr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Objetivos:</w:t>
      </w:r>
    </w:p>
    <w:p w:rsidR="00270117" w:rsidRDefault="00405D35">
      <w:pPr>
        <w:numPr>
          <w:ilvl w:val="0"/>
          <w:numId w:val="15"/>
        </w:numPr>
        <w:spacing w:after="0"/>
        <w:contextualSpacing/>
      </w:pPr>
      <w:r>
        <w:rPr>
          <w:rFonts w:ascii="Century Gothic" w:eastAsia="Century Gothic" w:hAnsi="Century Gothic" w:cs="Century Gothic"/>
          <w:color w:val="000000"/>
        </w:rPr>
        <w:t xml:space="preserve">Nivelar informações sobre andamento dos trabalhos das </w:t>
      </w:r>
      <w:proofErr w:type="spellStart"/>
      <w:r>
        <w:rPr>
          <w:rFonts w:ascii="Century Gothic" w:eastAsia="Century Gothic" w:hAnsi="Century Gothic" w:cs="Century Gothic"/>
          <w:color w:val="000000"/>
        </w:rPr>
        <w:t>CTs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entre coordenadores, autoridades e Coordenação Executiva do FBMC</w:t>
      </w:r>
    </w:p>
    <w:p w:rsidR="00270117" w:rsidRDefault="00405D35">
      <w:pPr>
        <w:numPr>
          <w:ilvl w:val="0"/>
          <w:numId w:val="15"/>
        </w:numPr>
        <w:contextualSpacing/>
      </w:pPr>
      <w:r>
        <w:rPr>
          <w:rFonts w:ascii="Century Gothic" w:eastAsia="Century Gothic" w:hAnsi="Century Gothic" w:cs="Century Gothic"/>
          <w:color w:val="000000"/>
        </w:rPr>
        <w:t>Discutir a proposta metodológica de construção do documento que apresentará os resultados do trabalho do FBMC em 2017.</w:t>
      </w:r>
    </w:p>
    <w:p w:rsidR="00270117" w:rsidRDefault="00405D35">
      <w:pPr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Agenda:</w:t>
      </w:r>
    </w:p>
    <w:p w:rsidR="00270117" w:rsidRDefault="00405D35">
      <w:pPr>
        <w:numPr>
          <w:ilvl w:val="0"/>
          <w:numId w:val="17"/>
        </w:numPr>
        <w:spacing w:after="0"/>
        <w:contextualSpacing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Atualizações Gerais do FBMC e das </w:t>
      </w:r>
      <w:proofErr w:type="spellStart"/>
      <w:r>
        <w:rPr>
          <w:rFonts w:ascii="Century Gothic" w:eastAsia="Century Gothic" w:hAnsi="Century Gothic" w:cs="Century Gothic"/>
          <w:b/>
          <w:color w:val="000000"/>
        </w:rPr>
        <w:t>CTs</w:t>
      </w:r>
      <w:proofErr w:type="spellEnd"/>
    </w:p>
    <w:p w:rsidR="00270117" w:rsidRDefault="00405D35">
      <w:pPr>
        <w:numPr>
          <w:ilvl w:val="0"/>
          <w:numId w:val="3"/>
        </w:numPr>
        <w:spacing w:after="0"/>
        <w:contextualSpacing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Nivelar presentes sobre andamentos dos trabalhos, expectativas e oportunidades.</w:t>
      </w:r>
    </w:p>
    <w:p w:rsidR="00270117" w:rsidRDefault="00270117">
      <w:pP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:rsidR="00270117" w:rsidRDefault="00405D35">
      <w:pPr>
        <w:numPr>
          <w:ilvl w:val="0"/>
          <w:numId w:val="17"/>
        </w:numPr>
        <w:spacing w:after="0"/>
        <w:contextualSpacing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Apresentação e discussão da proposta de “Resultado do trabalho do FBMC em 2017”</w:t>
      </w:r>
    </w:p>
    <w:p w:rsidR="00270117" w:rsidRDefault="00405D35">
      <w:pPr>
        <w:numPr>
          <w:ilvl w:val="0"/>
          <w:numId w:val="5"/>
        </w:numPr>
        <w:spacing w:after="0"/>
        <w:contextualSpacing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Discutir como construir o </w:t>
      </w:r>
      <w:proofErr w:type="spellStart"/>
      <w:r>
        <w:rPr>
          <w:rFonts w:ascii="Century Gothic" w:eastAsia="Century Gothic" w:hAnsi="Century Gothic" w:cs="Century Gothic"/>
          <w:color w:val="000000"/>
        </w:rPr>
        <w:t>white-paper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do FBMC em 2017 partindo de considerações substantivas e processuais, considerando ainda expectativas dos presentes.</w:t>
      </w:r>
    </w:p>
    <w:p w:rsidR="00270117" w:rsidRDefault="00270117">
      <w:pP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:rsidR="00270117" w:rsidRDefault="00405D35">
      <w:pPr>
        <w:numPr>
          <w:ilvl w:val="0"/>
          <w:numId w:val="17"/>
        </w:numPr>
        <w:spacing w:after="0"/>
        <w:contextualSpacing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Discussão de como operacionalizar a proposta nas </w:t>
      </w:r>
      <w:proofErr w:type="spellStart"/>
      <w:r>
        <w:rPr>
          <w:rFonts w:ascii="Century Gothic" w:eastAsia="Century Gothic" w:hAnsi="Century Gothic" w:cs="Century Gothic"/>
          <w:b/>
          <w:color w:val="000000"/>
        </w:rPr>
        <w:t>CTs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 xml:space="preserve"> e como realizar a </w:t>
      </w:r>
      <w:proofErr w:type="gramStart"/>
      <w:r>
        <w:rPr>
          <w:rFonts w:ascii="Century Gothic" w:eastAsia="Century Gothic" w:hAnsi="Century Gothic" w:cs="Century Gothic"/>
          <w:b/>
          <w:color w:val="000000"/>
        </w:rPr>
        <w:t>integração</w:t>
      </w:r>
      <w:proofErr w:type="gramEnd"/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0000"/>
        </w:rPr>
        <w:t>economy-wide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>.</w:t>
      </w:r>
    </w:p>
    <w:p w:rsidR="00270117" w:rsidRDefault="00405D35">
      <w:pPr>
        <w:numPr>
          <w:ilvl w:val="0"/>
          <w:numId w:val="7"/>
        </w:numPr>
        <w:spacing w:after="0"/>
        <w:contextualSpacing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Tratar de questões estratégicas.</w:t>
      </w:r>
    </w:p>
    <w:p w:rsidR="00270117" w:rsidRDefault="00270117">
      <w:pP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:rsidR="00270117" w:rsidRDefault="00405D35">
      <w:pPr>
        <w:numPr>
          <w:ilvl w:val="0"/>
          <w:numId w:val="17"/>
        </w:numPr>
        <w:spacing w:after="0"/>
        <w:contextualSpacing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Encaminhamentos.</w:t>
      </w:r>
    </w:p>
    <w:p w:rsidR="00270117" w:rsidRDefault="00405D35">
      <w:pPr>
        <w:numPr>
          <w:ilvl w:val="0"/>
          <w:numId w:val="9"/>
        </w:numPr>
        <w:spacing w:after="0"/>
        <w:contextualSpacing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Gerar acordos de trabalho</w:t>
      </w:r>
    </w:p>
    <w:p w:rsidR="00270117" w:rsidRDefault="00405D35">
      <w:pPr>
        <w:numPr>
          <w:ilvl w:val="0"/>
          <w:numId w:val="9"/>
        </w:numPr>
        <w:spacing w:after="0"/>
        <w:contextualSpacing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Definir necessidade de realizar reuniões adicionais.</w:t>
      </w:r>
    </w:p>
    <w:p w:rsidR="00270117" w:rsidRDefault="00270117">
      <w:pPr>
        <w:ind w:left="720"/>
        <w:rPr>
          <w:rFonts w:ascii="Century Gothic" w:eastAsia="Century Gothic" w:hAnsi="Century Gothic" w:cs="Century Gothic"/>
          <w:color w:val="000000"/>
        </w:rPr>
      </w:pPr>
    </w:p>
    <w:p w:rsidR="00270117" w:rsidRDefault="00270117">
      <w:pPr>
        <w:rPr>
          <w:rFonts w:ascii="Century Gothic" w:eastAsia="Century Gothic" w:hAnsi="Century Gothic" w:cs="Century Gothic"/>
          <w:color w:val="000000"/>
        </w:rPr>
      </w:pPr>
    </w:p>
    <w:p w:rsidR="00270117" w:rsidRDefault="00405D35">
      <w:pPr>
        <w:pStyle w:val="Ttulo1"/>
        <w:spacing w:before="0" w:after="0"/>
        <w:contextualSpacing w:val="0"/>
        <w:rPr>
          <w:rFonts w:ascii="Century Gothic" w:eastAsia="Century Gothic" w:hAnsi="Century Gothic" w:cs="Century Gothic"/>
          <w:b w:val="0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 w:val="0"/>
          <w:color w:val="000000"/>
          <w:sz w:val="24"/>
          <w:szCs w:val="24"/>
        </w:rPr>
        <w:lastRenderedPageBreak/>
        <w:br/>
      </w:r>
    </w:p>
    <w:p w:rsidR="00270117" w:rsidRDefault="00405D35">
      <w:pPr>
        <w:pStyle w:val="Ttulo1"/>
        <w:spacing w:before="0" w:after="0"/>
        <w:contextualSpacing w:val="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 xml:space="preserve">Resumo </w:t>
      </w:r>
    </w:p>
    <w:p w:rsidR="00270117" w:rsidRDefault="00270117">
      <w:pPr>
        <w:spacing w:after="0"/>
        <w:rPr>
          <w:rFonts w:ascii="Century Gothic" w:eastAsia="Century Gothic" w:hAnsi="Century Gothic" w:cs="Century Gothic"/>
          <w:color w:val="000000"/>
        </w:rPr>
      </w:pPr>
    </w:p>
    <w:p w:rsidR="00270117" w:rsidRPr="00FA782D" w:rsidRDefault="00405D35">
      <w:pPr>
        <w:widowControl w:val="0"/>
        <w:spacing w:after="0"/>
        <w:jc w:val="both"/>
        <w:rPr>
          <w:color w:val="000000"/>
        </w:rPr>
      </w:pPr>
      <w:r w:rsidRPr="00FA782D">
        <w:rPr>
          <w:color w:val="000000"/>
        </w:rPr>
        <w:t xml:space="preserve">- O representante da Casa Civil saudou a realização da reunião no Planalto e colocou à disposição para futuros encontros. Ele informou aos presentes que há um processo em curso para redefinir o modelo de governança nacional das questões climáticas, para depois se determinar como a governança federal deverá interagir com setores subnacionais, empresas, etc. Adiante, o representante do MDIC enfatizou a necessidade de se haver uma coordenação entre órgãos federais sobre a implementação da NDC brasileira, </w:t>
      </w:r>
      <w:proofErr w:type="spellStart"/>
      <w:r w:rsidRPr="00FA782D">
        <w:rPr>
          <w:color w:val="000000"/>
        </w:rPr>
        <w:t>vis-a-vis</w:t>
      </w:r>
      <w:proofErr w:type="spellEnd"/>
      <w:r w:rsidRPr="00FA782D">
        <w:rPr>
          <w:color w:val="000000"/>
        </w:rPr>
        <w:t xml:space="preserve"> o que está em progresso via FBMC. </w:t>
      </w:r>
    </w:p>
    <w:p w:rsidR="00270117" w:rsidRPr="00FA782D" w:rsidRDefault="00270117">
      <w:pPr>
        <w:widowControl w:val="0"/>
        <w:spacing w:after="0"/>
        <w:jc w:val="both"/>
        <w:rPr>
          <w:color w:val="000000"/>
        </w:rPr>
      </w:pPr>
    </w:p>
    <w:p w:rsidR="00270117" w:rsidRDefault="00405D35" w:rsidP="00FA782D">
      <w:pPr>
        <w:widowControl w:val="0"/>
        <w:spacing w:after="0"/>
        <w:jc w:val="both"/>
        <w:rPr>
          <w:color w:val="000000"/>
        </w:rPr>
      </w:pPr>
      <w:r w:rsidRPr="00FA782D">
        <w:rPr>
          <w:color w:val="000000"/>
        </w:rPr>
        <w:t xml:space="preserve">A coordenação do FBMC frisou que o objetivo em 2017 é se fazer um documento politicamente relevante e embasado na ciência para guiar a implementação imediata e futura da NDC brasileira. </w:t>
      </w:r>
      <w:r>
        <w:rPr>
          <w:color w:val="000000"/>
        </w:rPr>
        <w:br/>
      </w:r>
      <w:r>
        <w:rPr>
          <w:color w:val="000000"/>
        </w:rPr>
        <w:br/>
        <w:t xml:space="preserve">A prioridade do trabalho do FBMC em 2017 é facilitar a operacionalização dos compromissos assumidos pelo Brasil junto ao Acordo de Paris, mantendo uma constante de propostas para o governo com foco na viabilização e implementação da NDC. </w:t>
      </w:r>
    </w:p>
    <w:p w:rsidR="00270117" w:rsidRDefault="00270117">
      <w:pPr>
        <w:spacing w:after="0"/>
        <w:jc w:val="both"/>
        <w:rPr>
          <w:color w:val="000000"/>
        </w:rPr>
      </w:pPr>
    </w:p>
    <w:p w:rsidR="00270117" w:rsidRDefault="00405D35">
      <w:pPr>
        <w:spacing w:after="0"/>
        <w:jc w:val="both"/>
        <w:rPr>
          <w:color w:val="000000"/>
        </w:rPr>
      </w:pPr>
      <w:r>
        <w:rPr>
          <w:color w:val="000000"/>
        </w:rPr>
        <w:t xml:space="preserve">Coordenadores de </w:t>
      </w:r>
      <w:proofErr w:type="spellStart"/>
      <w:r>
        <w:rPr>
          <w:color w:val="000000"/>
        </w:rPr>
        <w:t>CTs</w:t>
      </w:r>
      <w:proofErr w:type="spellEnd"/>
      <w:r>
        <w:rPr>
          <w:color w:val="000000"/>
        </w:rPr>
        <w:t xml:space="preserve"> do FBMC, os membros (presencialmente e por Skype) discutiram ferramentas e a criação de procedimentos para documentação e apresentação dos resultados do trabalho do ano de 2017. </w:t>
      </w:r>
    </w:p>
    <w:p w:rsidR="00270117" w:rsidRDefault="00270117">
      <w:pPr>
        <w:spacing w:after="0"/>
        <w:jc w:val="both"/>
        <w:rPr>
          <w:color w:val="000000"/>
        </w:rPr>
      </w:pPr>
    </w:p>
    <w:p w:rsidR="00FA782D" w:rsidRDefault="00405D35">
      <w:pPr>
        <w:spacing w:after="0"/>
        <w:jc w:val="both"/>
        <w:rPr>
          <w:color w:val="000000"/>
        </w:rPr>
      </w:pPr>
      <w:r>
        <w:rPr>
          <w:color w:val="000000"/>
        </w:rPr>
        <w:t>A discussão sobre o “Cardápio de Opções” apresentado pela Secretaria Executiva e previamente preenchido pela equipe do FBMC com itens relativos ao documento Opções de Mitigação elaborado pelo MCTIC teve ampla discussão e aceitação pelos coordenadores. Uma matriz foi previamente preenchida pela equipe do FBMC com itens relativos ao documento Opções de Mitigação elaborado pelo MCTIC. Sugeriu-se na reunião</w:t>
      </w:r>
      <w:r w:rsidR="00FA782D">
        <w:rPr>
          <w:color w:val="000000"/>
        </w:rPr>
        <w:t>.</w:t>
      </w:r>
    </w:p>
    <w:p w:rsidR="00FA782D" w:rsidRDefault="00FA782D">
      <w:pPr>
        <w:spacing w:after="0"/>
        <w:jc w:val="both"/>
        <w:rPr>
          <w:color w:val="000000"/>
        </w:rPr>
      </w:pPr>
    </w:p>
    <w:p w:rsidR="00270117" w:rsidRDefault="00405D35">
      <w:pPr>
        <w:spacing w:after="0"/>
        <w:jc w:val="both"/>
        <w:rPr>
          <w:color w:val="000000"/>
        </w:rPr>
      </w:pPr>
      <w:r>
        <w:rPr>
          <w:color w:val="000000"/>
        </w:rPr>
        <w:t>Nessa matriz proposta foi solicitada a adição da coluna de “status” para compreensão das atividades (existente, prevista/planejada, adicional ou nova proposta). A intersecção da CT de Adaptação deve ser abordada em cada CT com as medidas e abordagens para adaptação próprias, definidas internamente. Os modelos de financiamento devem ser incluídos em formato detalhado, especialmente na definição do fomento (estabelecido, planejado ou adicional).</w:t>
      </w:r>
    </w:p>
    <w:p w:rsidR="00270117" w:rsidRDefault="00405D35">
      <w:pPr>
        <w:spacing w:after="0"/>
        <w:jc w:val="both"/>
        <w:rPr>
          <w:color w:val="000000"/>
        </w:rPr>
      </w:pPr>
      <w:r>
        <w:rPr>
          <w:color w:val="000000"/>
        </w:rPr>
        <w:br/>
        <w:t xml:space="preserve">O impacto socioambiental das ações das </w:t>
      </w:r>
      <w:proofErr w:type="spellStart"/>
      <w:r>
        <w:rPr>
          <w:color w:val="000000"/>
        </w:rPr>
        <w:t>CTs</w:t>
      </w:r>
      <w:proofErr w:type="spellEnd"/>
      <w:r>
        <w:rPr>
          <w:color w:val="000000"/>
        </w:rPr>
        <w:t xml:space="preserve"> sobre empregabilidade e renda deve ser observado. Atenção especial deve ser dada ao custo de implementação das ações, e as origens desses recursos sem impactar na eliminação de ações importantes para execução (por exemplo trade-off e fundos internacionais específicos). Foi também consenso a proposta de atenção para todas as </w:t>
      </w:r>
      <w:proofErr w:type="spellStart"/>
      <w:r>
        <w:rPr>
          <w:color w:val="000000"/>
        </w:rPr>
        <w:t>CTs</w:t>
      </w:r>
      <w:proofErr w:type="spellEnd"/>
      <w:r>
        <w:rPr>
          <w:color w:val="000000"/>
        </w:rPr>
        <w:t xml:space="preserve"> indicarem os impactos especialmente sobre populações mais vulneráveis.</w:t>
      </w:r>
    </w:p>
    <w:p w:rsidR="00270117" w:rsidRDefault="00270117">
      <w:pPr>
        <w:spacing w:after="0"/>
        <w:jc w:val="both"/>
        <w:rPr>
          <w:color w:val="000000"/>
        </w:rPr>
      </w:pPr>
    </w:p>
    <w:p w:rsidR="00270117" w:rsidRDefault="00405D35">
      <w:pPr>
        <w:spacing w:after="0"/>
        <w:jc w:val="both"/>
        <w:rPr>
          <w:color w:val="000000"/>
        </w:rPr>
      </w:pPr>
      <w:r>
        <w:rPr>
          <w:color w:val="000000"/>
        </w:rPr>
        <w:t xml:space="preserve">A intersecção da CT de Adaptação deve ser abordada em cada CT com as medidas e abordagens para adaptação próprias, definidas internamente. Os modelos de financiamento devem ser incluídos </w:t>
      </w:r>
      <w:r>
        <w:rPr>
          <w:color w:val="000000"/>
        </w:rPr>
        <w:lastRenderedPageBreak/>
        <w:t>em formato detalhado, especialmente na definição do fomento (estabelecido, planejado ou adicional).</w:t>
      </w:r>
    </w:p>
    <w:p w:rsidR="00270117" w:rsidRDefault="00270117">
      <w:pPr>
        <w:spacing w:after="0"/>
        <w:jc w:val="both"/>
        <w:rPr>
          <w:color w:val="000000"/>
        </w:rPr>
      </w:pPr>
    </w:p>
    <w:p w:rsidR="00270117" w:rsidRDefault="00405D35">
      <w:pPr>
        <w:spacing w:after="0"/>
        <w:jc w:val="both"/>
        <w:rPr>
          <w:color w:val="000000"/>
        </w:rPr>
      </w:pPr>
      <w:r>
        <w:rPr>
          <w:color w:val="000000"/>
        </w:rPr>
        <w:t xml:space="preserve">Considerando o FBMC uma instância composta pelo governo e pela sociedade, nenhuma CT deverá sobrepor outra e todas poderão indicar medidas e no caso de dissenso deverá ser apresentado como nota explicativa. As </w:t>
      </w:r>
      <w:proofErr w:type="spellStart"/>
      <w:r>
        <w:rPr>
          <w:color w:val="000000"/>
        </w:rPr>
        <w:t>CTs</w:t>
      </w:r>
      <w:proofErr w:type="spellEnd"/>
      <w:r>
        <w:rPr>
          <w:color w:val="000000"/>
        </w:rPr>
        <w:t xml:space="preserve"> transversais (Adaptação; Finanças, Ciência &amp; Tecnologia e Visão de Longo Prazo), mas sobretudo CTLP (Câmara Temática de Visão de Longo Prazo) </w:t>
      </w:r>
      <w:proofErr w:type="spellStart"/>
      <w:r>
        <w:rPr>
          <w:color w:val="000000"/>
        </w:rPr>
        <w:t>irao</w:t>
      </w:r>
      <w:proofErr w:type="spellEnd"/>
      <w:r>
        <w:rPr>
          <w:color w:val="000000"/>
        </w:rPr>
        <w:t xml:space="preserve"> se basear nos documentos gerados pelas outras </w:t>
      </w:r>
      <w:proofErr w:type="spellStart"/>
      <w:r>
        <w:rPr>
          <w:color w:val="000000"/>
        </w:rPr>
        <w:t>CTs</w:t>
      </w:r>
      <w:proofErr w:type="spellEnd"/>
      <w:r>
        <w:rPr>
          <w:color w:val="000000"/>
        </w:rPr>
        <w:t xml:space="preserve">, integrando as medidas. </w:t>
      </w:r>
    </w:p>
    <w:p w:rsidR="00270117" w:rsidRDefault="00270117">
      <w:pPr>
        <w:spacing w:after="0"/>
        <w:jc w:val="both"/>
        <w:rPr>
          <w:color w:val="000000"/>
        </w:rPr>
      </w:pPr>
    </w:p>
    <w:p w:rsidR="00270117" w:rsidRPr="00FA782D" w:rsidRDefault="00270117">
      <w:pPr>
        <w:spacing w:after="0"/>
        <w:jc w:val="both"/>
        <w:rPr>
          <w:color w:val="000000"/>
        </w:rPr>
      </w:pPr>
    </w:p>
    <w:p w:rsidR="00270117" w:rsidRDefault="00405D35">
      <w:pPr>
        <w:pStyle w:val="Ttulo1"/>
        <w:spacing w:before="0" w:after="0"/>
        <w:contextualSpacing w:val="0"/>
        <w:rPr>
          <w:rFonts w:ascii="Century Gothic" w:eastAsia="Century Gothic" w:hAnsi="Century Gothic" w:cs="Century Gothic"/>
          <w:sz w:val="36"/>
          <w:szCs w:val="36"/>
        </w:rPr>
      </w:pPr>
      <w:r w:rsidRPr="00FA782D">
        <w:rPr>
          <w:rFonts w:ascii="Century Gothic" w:eastAsia="Century Gothic" w:hAnsi="Century Gothic" w:cs="Century Gothic"/>
          <w:sz w:val="36"/>
          <w:szCs w:val="36"/>
        </w:rPr>
        <w:t>Perguntas e respostas</w:t>
      </w:r>
      <w:r>
        <w:rPr>
          <w:rFonts w:ascii="Century Gothic" w:eastAsia="Century Gothic" w:hAnsi="Century Gothic" w:cs="Century Gothic"/>
          <w:sz w:val="36"/>
          <w:szCs w:val="36"/>
        </w:rPr>
        <w:t xml:space="preserve"> </w:t>
      </w:r>
    </w:p>
    <w:p w:rsidR="00270117" w:rsidRDefault="00405D35">
      <w:pPr>
        <w:widowControl w:val="0"/>
        <w:spacing w:after="0"/>
        <w:jc w:val="both"/>
        <w:rPr>
          <w:color w:val="000000"/>
        </w:rPr>
      </w:pPr>
      <w:r>
        <w:rPr>
          <w:color w:val="000000"/>
        </w:rPr>
        <w:t xml:space="preserve">- Qual garantia temos que esse documento será politicamente relevante depois da transição política em 2018? </w:t>
      </w:r>
    </w:p>
    <w:p w:rsidR="00270117" w:rsidRDefault="00405D3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spacing w:after="0"/>
        <w:ind w:hanging="720"/>
        <w:jc w:val="both"/>
        <w:rPr>
          <w:color w:val="000000"/>
        </w:rPr>
      </w:pPr>
      <w:r>
        <w:rPr>
          <w:color w:val="000000"/>
        </w:rPr>
        <w:t>O Fórum tem legitimidade institucional (responde diretamente à Presidência) e pretende ter densidade social. Não temos como garantir que o documento será aproveitado, mas a legitimidade do documento e processo podem lhe dar sobrevida.</w:t>
      </w:r>
    </w:p>
    <w:p w:rsidR="00270117" w:rsidRDefault="00405D3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spacing w:after="0"/>
        <w:ind w:hanging="720"/>
        <w:jc w:val="both"/>
        <w:rPr>
          <w:color w:val="000000"/>
        </w:rPr>
      </w:pPr>
      <w:r>
        <w:rPr>
          <w:color w:val="000000"/>
        </w:rPr>
        <w:t>Não há garantia de que todas as recomendações serão implementadas (questões fiscais, políticas, etc.), mas há formas de institucionalizá-las (e.g. Decreto). É necessário que o documento considere a realidade das políticas públicas/cenários atuais.</w:t>
      </w:r>
    </w:p>
    <w:p w:rsidR="00270117" w:rsidRDefault="00405D35">
      <w:pPr>
        <w:widowControl w:val="0"/>
        <w:spacing w:after="0"/>
        <w:jc w:val="both"/>
        <w:rPr>
          <w:color w:val="000000"/>
        </w:rPr>
      </w:pPr>
      <w:r>
        <w:rPr>
          <w:color w:val="000000"/>
        </w:rPr>
        <w:t xml:space="preserve">  </w:t>
      </w:r>
    </w:p>
    <w:p w:rsidR="00270117" w:rsidRDefault="00405D35">
      <w:pPr>
        <w:widowControl w:val="0"/>
        <w:spacing w:after="0"/>
        <w:jc w:val="both"/>
        <w:rPr>
          <w:color w:val="000000"/>
        </w:rPr>
      </w:pPr>
      <w:r>
        <w:rPr>
          <w:color w:val="000000"/>
        </w:rPr>
        <w:t xml:space="preserve">- O que esperar do documento?  </w:t>
      </w:r>
    </w:p>
    <w:p w:rsidR="00270117" w:rsidRDefault="00405D35">
      <w:pPr>
        <w:widowControl w:val="0"/>
        <w:spacing w:after="0"/>
        <w:ind w:firstLine="720"/>
        <w:jc w:val="both"/>
        <w:rPr>
          <w:color w:val="000000"/>
        </w:rPr>
      </w:pPr>
      <w:r>
        <w:rPr>
          <w:color w:val="000000"/>
        </w:rPr>
        <w:t xml:space="preserve">- Sugeriu-se trabalhar em modo de relato de práticas e medidas já adotadas, </w:t>
      </w:r>
      <w:proofErr w:type="spellStart"/>
      <w:r>
        <w:rPr>
          <w:color w:val="000000"/>
        </w:rPr>
        <w:t>compliando</w:t>
      </w:r>
      <w:proofErr w:type="spellEnd"/>
      <w:r>
        <w:rPr>
          <w:color w:val="000000"/>
        </w:rPr>
        <w:t xml:space="preserve"> o que já foi feito nos últimos anos. </w:t>
      </w:r>
    </w:p>
    <w:p w:rsidR="006C3180" w:rsidRDefault="00405D35" w:rsidP="00FA782D">
      <w:pPr>
        <w:widowControl w:val="0"/>
        <w:spacing w:after="0"/>
        <w:ind w:firstLine="720"/>
        <w:jc w:val="both"/>
        <w:rPr>
          <w:color w:val="000000"/>
        </w:rPr>
      </w:pPr>
      <w:r>
        <w:rPr>
          <w:color w:val="000000"/>
        </w:rPr>
        <w:t>- Reconhecer tais 'pontos de partida' e buscar medidas adicionais que vão</w:t>
      </w:r>
    </w:p>
    <w:p w:rsidR="00270117" w:rsidRDefault="006C3180" w:rsidP="00FA782D">
      <w:pPr>
        <w:widowControl w:val="0"/>
        <w:spacing w:after="0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405D35">
        <w:rPr>
          <w:color w:val="000000"/>
        </w:rPr>
        <w:t>Apoio dos presentes a políticas de melhoria do ambiente de negócios, como cr</w:t>
      </w:r>
      <w:r w:rsidR="00FA782D">
        <w:rPr>
          <w:color w:val="000000"/>
        </w:rPr>
        <w:t>iar uma “cadeia de restauração".</w:t>
      </w:r>
    </w:p>
    <w:p w:rsidR="00FA782D" w:rsidRDefault="00FA782D" w:rsidP="00FA782D">
      <w:pPr>
        <w:widowControl w:val="0"/>
        <w:spacing w:after="0"/>
        <w:ind w:firstLine="720"/>
        <w:jc w:val="both"/>
        <w:rPr>
          <w:color w:val="000000"/>
        </w:rPr>
      </w:pPr>
    </w:p>
    <w:p w:rsidR="00270117" w:rsidRDefault="00405D35">
      <w:pPr>
        <w:widowControl w:val="0"/>
        <w:spacing w:after="0"/>
        <w:jc w:val="both"/>
        <w:rPr>
          <w:color w:val="000000"/>
        </w:rPr>
      </w:pPr>
      <w:r>
        <w:rPr>
          <w:color w:val="000000"/>
        </w:rPr>
        <w:t xml:space="preserve">Para o governo, é importante ter um trabalho de “estoque regulatório” - que leis e decretos devem/podem ser aprovados ano que vem para viabilizar a implementação da NDC </w:t>
      </w:r>
    </w:p>
    <w:p w:rsidR="00FA782D" w:rsidRDefault="00FA782D">
      <w:pPr>
        <w:widowControl w:val="0"/>
        <w:tabs>
          <w:tab w:val="left" w:pos="220"/>
          <w:tab w:val="left" w:pos="720"/>
        </w:tabs>
        <w:spacing w:after="0"/>
        <w:jc w:val="both"/>
        <w:rPr>
          <w:color w:val="000000"/>
        </w:rPr>
      </w:pPr>
    </w:p>
    <w:p w:rsidR="006C3180" w:rsidRDefault="00FA782D" w:rsidP="006C3180">
      <w:pPr>
        <w:widowControl w:val="0"/>
        <w:tabs>
          <w:tab w:val="left" w:pos="220"/>
          <w:tab w:val="left" w:pos="72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05D35">
        <w:rPr>
          <w:color w:val="000000"/>
        </w:rPr>
        <w:t xml:space="preserve">Quem vai passar a peneira nas opções encaminhadas por cada CT? Secretaria do FBMC? Coordenadores? Como será feito o </w:t>
      </w:r>
      <w:proofErr w:type="spellStart"/>
      <w:r w:rsidR="00405D35">
        <w:rPr>
          <w:color w:val="000000"/>
        </w:rPr>
        <w:t>ranqueamento</w:t>
      </w:r>
      <w:proofErr w:type="spellEnd"/>
      <w:r w:rsidR="00405D35">
        <w:rPr>
          <w:color w:val="000000"/>
        </w:rPr>
        <w:t xml:space="preserve"> das medidas entre as </w:t>
      </w:r>
      <w:proofErr w:type="spellStart"/>
      <w:r w:rsidR="00405D35">
        <w:rPr>
          <w:color w:val="000000"/>
        </w:rPr>
        <w:t>CTs</w:t>
      </w:r>
      <w:proofErr w:type="spellEnd"/>
      <w:r w:rsidR="00405D35">
        <w:rPr>
          <w:color w:val="000000"/>
        </w:rPr>
        <w:t xml:space="preserve">? </w:t>
      </w:r>
    </w:p>
    <w:p w:rsidR="006C3180" w:rsidRDefault="006C3180" w:rsidP="006C3180">
      <w:pPr>
        <w:widowControl w:val="0"/>
        <w:tabs>
          <w:tab w:val="left" w:pos="220"/>
          <w:tab w:val="left" w:pos="720"/>
        </w:tabs>
        <w:spacing w:after="0"/>
        <w:jc w:val="both"/>
        <w:rPr>
          <w:color w:val="000000"/>
        </w:rPr>
      </w:pPr>
    </w:p>
    <w:p w:rsidR="00270117" w:rsidRPr="006C3180" w:rsidRDefault="00405D35" w:rsidP="006C3180">
      <w:pPr>
        <w:widowControl w:val="0"/>
        <w:tabs>
          <w:tab w:val="left" w:pos="220"/>
          <w:tab w:val="left" w:pos="720"/>
        </w:tabs>
        <w:spacing w:after="0"/>
        <w:jc w:val="both"/>
        <w:rPr>
          <w:color w:val="000000"/>
        </w:rPr>
      </w:pPr>
      <w:r w:rsidRPr="006C3180">
        <w:rPr>
          <w:color w:val="000000"/>
        </w:rPr>
        <w:t xml:space="preserve">A CTLP irá se basear nos documentos das outras </w:t>
      </w:r>
      <w:proofErr w:type="spellStart"/>
      <w:r w:rsidRPr="006C3180">
        <w:rPr>
          <w:color w:val="000000"/>
        </w:rPr>
        <w:t>CTs</w:t>
      </w:r>
      <w:proofErr w:type="spellEnd"/>
      <w:r w:rsidRPr="006C3180">
        <w:rPr>
          <w:color w:val="000000"/>
        </w:rPr>
        <w:t xml:space="preserve"> e modelagens já feitas (Opções de Mitigação, IES Brasil 2050) para integrar as medidas em uma estratégia “</w:t>
      </w:r>
      <w:proofErr w:type="spellStart"/>
      <w:r w:rsidRPr="006C3180">
        <w:rPr>
          <w:color w:val="000000"/>
        </w:rPr>
        <w:t>economy-wide</w:t>
      </w:r>
      <w:proofErr w:type="spellEnd"/>
      <w:r w:rsidRPr="006C3180">
        <w:rPr>
          <w:color w:val="000000"/>
        </w:rPr>
        <w:t>”: resumos para cada setor, integração de medidas</w:t>
      </w:r>
      <w:r w:rsidR="006C3180">
        <w:rPr>
          <w:color w:val="000000"/>
        </w:rPr>
        <w:t xml:space="preserve"> </w:t>
      </w:r>
      <w:r w:rsidRPr="006C3180">
        <w:rPr>
          <w:color w:val="000000"/>
        </w:rPr>
        <w:t xml:space="preserve">que se considerar que estaremos lidando com três tipos diferentes de medidas no “cardápio” </w:t>
      </w:r>
    </w:p>
    <w:p w:rsidR="00270117" w:rsidRDefault="006C3180" w:rsidP="00FA78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/>
        <w:ind w:hanging="720"/>
        <w:jc w:val="both"/>
        <w:rPr>
          <w:color w:val="000000"/>
        </w:rPr>
      </w:pPr>
      <w:r>
        <w:rPr>
          <w:color w:val="000000"/>
        </w:rPr>
        <w:t>Medidas concretas</w:t>
      </w:r>
    </w:p>
    <w:p w:rsidR="00270117" w:rsidRDefault="006C3180" w:rsidP="00FA78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/>
        <w:ind w:hanging="720"/>
        <w:jc w:val="both"/>
        <w:rPr>
          <w:color w:val="000000"/>
        </w:rPr>
      </w:pPr>
      <w:r>
        <w:rPr>
          <w:color w:val="000000"/>
        </w:rPr>
        <w:t>Medidas regulatórias</w:t>
      </w:r>
    </w:p>
    <w:p w:rsidR="00270117" w:rsidRDefault="00405D35" w:rsidP="00FA78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/>
        <w:ind w:hanging="720"/>
        <w:jc w:val="both"/>
        <w:rPr>
          <w:color w:val="000000"/>
        </w:rPr>
      </w:pPr>
      <w:r>
        <w:rPr>
          <w:color w:val="000000"/>
        </w:rPr>
        <w:t>Medidas do setor privado</w:t>
      </w:r>
    </w:p>
    <w:p w:rsidR="00270117" w:rsidRDefault="00270117">
      <w:pPr>
        <w:widowControl w:val="0"/>
        <w:tabs>
          <w:tab w:val="left" w:pos="220"/>
          <w:tab w:val="left" w:pos="720"/>
        </w:tabs>
        <w:spacing w:after="0"/>
        <w:jc w:val="both"/>
        <w:rPr>
          <w:color w:val="000000"/>
        </w:rPr>
      </w:pPr>
    </w:p>
    <w:p w:rsidR="00FA782D" w:rsidRDefault="00405D35">
      <w:pPr>
        <w:widowControl w:val="0"/>
        <w:numPr>
          <w:ilvl w:val="0"/>
          <w:numId w:val="8"/>
        </w:numPr>
        <w:tabs>
          <w:tab w:val="left" w:pos="940"/>
          <w:tab w:val="left" w:pos="1440"/>
        </w:tabs>
        <w:spacing w:after="0"/>
        <w:contextualSpacing/>
        <w:jc w:val="both"/>
        <w:rPr>
          <w:color w:val="000000"/>
        </w:rPr>
      </w:pPr>
      <w:r>
        <w:rPr>
          <w:color w:val="000000"/>
        </w:rPr>
        <w:t xml:space="preserve">Com que cenários e/ou trajetórias </w:t>
      </w:r>
      <w:r w:rsidR="00FA782D">
        <w:rPr>
          <w:color w:val="000000"/>
        </w:rPr>
        <w:t>podemos trabalhar, no agregado?</w:t>
      </w:r>
    </w:p>
    <w:p w:rsidR="00270117" w:rsidRDefault="00FA782D" w:rsidP="00FA782D">
      <w:pPr>
        <w:widowControl w:val="0"/>
        <w:tabs>
          <w:tab w:val="left" w:pos="940"/>
          <w:tab w:val="left" w:pos="1440"/>
        </w:tabs>
        <w:spacing w:after="0"/>
        <w:ind w:left="720"/>
        <w:contextualSpacing/>
        <w:jc w:val="both"/>
        <w:rPr>
          <w:color w:val="000000"/>
        </w:rPr>
      </w:pPr>
      <w:r>
        <w:rPr>
          <w:color w:val="000000"/>
        </w:rPr>
        <w:lastRenderedPageBreak/>
        <w:t>N</w:t>
      </w:r>
      <w:r w:rsidR="00405D35">
        <w:rPr>
          <w:color w:val="000000"/>
        </w:rPr>
        <w:t>úmeros e ações contidas no Anexo do documento submetido pelo Brasil à UNFCCC (critério custo-efetividade priorizado pelo projeto Opções de Mitigação)</w:t>
      </w:r>
    </w:p>
    <w:p w:rsidR="006C3180" w:rsidRDefault="006C3180" w:rsidP="00FA782D">
      <w:pPr>
        <w:widowControl w:val="0"/>
        <w:tabs>
          <w:tab w:val="left" w:pos="940"/>
          <w:tab w:val="left" w:pos="1440"/>
        </w:tabs>
        <w:spacing w:after="0"/>
        <w:ind w:left="720"/>
        <w:contextualSpacing/>
        <w:jc w:val="both"/>
        <w:rPr>
          <w:color w:val="000000"/>
        </w:rPr>
      </w:pPr>
      <w:bookmarkStart w:id="0" w:name="_GoBack"/>
      <w:bookmarkEnd w:id="0"/>
    </w:p>
    <w:p w:rsidR="00270117" w:rsidRDefault="00405D35">
      <w:pPr>
        <w:widowControl w:val="0"/>
        <w:numPr>
          <w:ilvl w:val="0"/>
          <w:numId w:val="8"/>
        </w:numPr>
        <w:tabs>
          <w:tab w:val="left" w:pos="1660"/>
          <w:tab w:val="left" w:pos="2160"/>
        </w:tabs>
        <w:spacing w:after="0"/>
        <w:contextualSpacing/>
        <w:jc w:val="both"/>
        <w:rPr>
          <w:color w:val="000000"/>
        </w:rPr>
      </w:pPr>
      <w:r>
        <w:rPr>
          <w:color w:val="000000"/>
        </w:rPr>
        <w:t>Foco na r</w:t>
      </w:r>
      <w:r w:rsidR="00FA782D">
        <w:rPr>
          <w:color w:val="000000"/>
        </w:rPr>
        <w:t>eduç</w:t>
      </w:r>
      <w:r>
        <w:rPr>
          <w:color w:val="000000"/>
        </w:rPr>
        <w:t>ão do desmatamento</w:t>
      </w:r>
    </w:p>
    <w:p w:rsidR="00FA782D" w:rsidRDefault="00FA782D">
      <w:pPr>
        <w:widowControl w:val="0"/>
        <w:spacing w:after="0"/>
        <w:jc w:val="both"/>
        <w:rPr>
          <w:color w:val="000000"/>
        </w:rPr>
      </w:pPr>
    </w:p>
    <w:p w:rsidR="00270117" w:rsidRDefault="00FA782D">
      <w:pPr>
        <w:widowControl w:val="0"/>
        <w:spacing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05D35">
        <w:rPr>
          <w:color w:val="000000"/>
        </w:rPr>
        <w:t xml:space="preserve">Qual será o formato final do documento do FBMC em 2017? </w:t>
      </w:r>
    </w:p>
    <w:p w:rsidR="00270117" w:rsidRDefault="00405D3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spacing w:after="0"/>
        <w:ind w:hanging="720"/>
        <w:jc w:val="both"/>
        <w:rPr>
          <w:color w:val="000000"/>
        </w:rPr>
      </w:pPr>
      <w:r>
        <w:rPr>
          <w:color w:val="000000"/>
        </w:rPr>
        <w:t>Ponto de partida: prefácio descrevendo "onde estamos", o que já alcançamos</w:t>
      </w:r>
    </w:p>
    <w:p w:rsidR="00270117" w:rsidRDefault="00405D3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spacing w:after="0"/>
        <w:ind w:hanging="720"/>
        <w:jc w:val="both"/>
        <w:rPr>
          <w:color w:val="000000"/>
        </w:rPr>
      </w:pPr>
      <w:r>
        <w:rPr>
          <w:color w:val="000000"/>
        </w:rPr>
        <w:t>Cenários de futuro/modelos já existentes </w:t>
      </w:r>
    </w:p>
    <w:p w:rsidR="00270117" w:rsidRDefault="00405D3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spacing w:after="0"/>
        <w:ind w:hanging="720"/>
        <w:jc w:val="both"/>
        <w:rPr>
          <w:color w:val="000000"/>
        </w:rPr>
      </w:pPr>
      <w:r>
        <w:rPr>
          <w:color w:val="000000"/>
        </w:rPr>
        <w:t>Medidas adicionais (regulatórias), visando viabilizar a estratégia de implementação </w:t>
      </w:r>
    </w:p>
    <w:p w:rsidR="00FA782D" w:rsidRDefault="00FA782D">
      <w:pPr>
        <w:widowControl w:val="0"/>
        <w:spacing w:after="0"/>
        <w:jc w:val="both"/>
        <w:rPr>
          <w:color w:val="000000"/>
        </w:rPr>
      </w:pPr>
    </w:p>
    <w:p w:rsidR="00270117" w:rsidRDefault="00FA782D">
      <w:pPr>
        <w:widowControl w:val="0"/>
        <w:spacing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05D35">
        <w:rPr>
          <w:color w:val="000000"/>
        </w:rPr>
        <w:t xml:space="preserve">Como o documento tratará da questão de meios de implementação? </w:t>
      </w:r>
    </w:p>
    <w:p w:rsidR="00270117" w:rsidRDefault="00FA782D">
      <w:pPr>
        <w:widowControl w:val="0"/>
        <w:spacing w:after="0"/>
        <w:jc w:val="both"/>
        <w:rPr>
          <w:color w:val="000000"/>
        </w:rPr>
      </w:pPr>
      <w:r>
        <w:rPr>
          <w:color w:val="000000"/>
        </w:rPr>
        <w:t>- A</w:t>
      </w:r>
      <w:r w:rsidR="00405D35">
        <w:rPr>
          <w:color w:val="000000"/>
        </w:rPr>
        <w:t xml:space="preserve">dicionar o orçamento dos cenários - quanto custa e como financiar?  </w:t>
      </w:r>
    </w:p>
    <w:p w:rsidR="00270117" w:rsidRDefault="00405D35">
      <w:pPr>
        <w:widowControl w:val="0"/>
        <w:spacing w:after="0"/>
        <w:jc w:val="both"/>
        <w:rPr>
          <w:color w:val="000000"/>
        </w:rPr>
      </w:pPr>
      <w:r>
        <w:rPr>
          <w:color w:val="000000"/>
        </w:rPr>
        <w:t>Quando o trabalho estiver mais avançado (outubro) podemos fazer uma rodada com financiadores (e.g. Dinamarca), um “</w:t>
      </w:r>
      <w:proofErr w:type="spellStart"/>
      <w:r>
        <w:rPr>
          <w:color w:val="000000"/>
        </w:rPr>
        <w:t>matchmaking</w:t>
      </w:r>
      <w:proofErr w:type="spellEnd"/>
      <w:r w:rsidR="00FA782D">
        <w:rPr>
          <w:color w:val="000000"/>
        </w:rPr>
        <w:t>”.</w:t>
      </w:r>
    </w:p>
    <w:p w:rsidR="00FA782D" w:rsidRDefault="00FA782D">
      <w:pPr>
        <w:widowControl w:val="0"/>
        <w:tabs>
          <w:tab w:val="left" w:pos="220"/>
          <w:tab w:val="left" w:pos="720"/>
        </w:tabs>
        <w:spacing w:after="0"/>
        <w:jc w:val="both"/>
        <w:rPr>
          <w:color w:val="000000"/>
        </w:rPr>
      </w:pPr>
    </w:p>
    <w:p w:rsidR="00270117" w:rsidRDefault="00FA782D">
      <w:pPr>
        <w:widowControl w:val="0"/>
        <w:tabs>
          <w:tab w:val="left" w:pos="220"/>
          <w:tab w:val="left" w:pos="72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05D35">
        <w:rPr>
          <w:color w:val="000000"/>
        </w:rPr>
        <w:t>Como adaptação entra no documento de 2017? </w:t>
      </w:r>
    </w:p>
    <w:p w:rsidR="00270117" w:rsidRDefault="00405D35">
      <w:pPr>
        <w:widowControl w:val="0"/>
        <w:numPr>
          <w:ilvl w:val="0"/>
          <w:numId w:val="18"/>
        </w:numPr>
        <w:tabs>
          <w:tab w:val="left" w:pos="940"/>
          <w:tab w:val="left" w:pos="1440"/>
        </w:tabs>
        <w:spacing w:after="0"/>
        <w:contextualSpacing/>
        <w:jc w:val="both"/>
        <w:rPr>
          <w:color w:val="000000"/>
        </w:rPr>
      </w:pPr>
      <w:r>
        <w:rPr>
          <w:color w:val="000000"/>
        </w:rPr>
        <w:t>Cada CT tem medidas de adaptação, mas é bom coordenar uma estratégia de adaptação comum em um documento paralelo</w:t>
      </w:r>
    </w:p>
    <w:p w:rsidR="00270117" w:rsidRDefault="00405D35">
      <w:pPr>
        <w:widowControl w:val="0"/>
        <w:numPr>
          <w:ilvl w:val="0"/>
          <w:numId w:val="18"/>
        </w:numPr>
        <w:tabs>
          <w:tab w:val="left" w:pos="940"/>
          <w:tab w:val="left" w:pos="1440"/>
        </w:tabs>
        <w:spacing w:after="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Algumas </w:t>
      </w:r>
      <w:proofErr w:type="spellStart"/>
      <w:r>
        <w:rPr>
          <w:color w:val="000000"/>
        </w:rPr>
        <w:t>CTs</w:t>
      </w:r>
      <w:proofErr w:type="spellEnd"/>
      <w:r>
        <w:rPr>
          <w:color w:val="000000"/>
        </w:rPr>
        <w:t xml:space="preserve"> já tem</w:t>
      </w:r>
      <w:proofErr w:type="gramEnd"/>
      <w:r>
        <w:rPr>
          <w:color w:val="000000"/>
        </w:rPr>
        <w:t xml:space="preserve"> subgrupos de adaptação (exemplo: CT 5 - Cidades) </w:t>
      </w:r>
    </w:p>
    <w:p w:rsidR="00270117" w:rsidRDefault="00405D35" w:rsidP="00FA782D">
      <w:pPr>
        <w:widowControl w:val="0"/>
        <w:numPr>
          <w:ilvl w:val="0"/>
          <w:numId w:val="18"/>
        </w:numPr>
        <w:spacing w:after="0"/>
        <w:contextualSpacing/>
        <w:jc w:val="both"/>
        <w:rPr>
          <w:color w:val="000000"/>
        </w:rPr>
      </w:pPr>
      <w:r>
        <w:rPr>
          <w:color w:val="000000"/>
        </w:rPr>
        <w:t>Começar a primeira reunião da CT de Adaptação perguntando qual é a prioridade de adaptação de cada CT: e.g. Indústria - Gestão de riscos</w:t>
      </w:r>
    </w:p>
    <w:p w:rsidR="00270117" w:rsidRDefault="00270117">
      <w:pPr>
        <w:widowControl w:val="0"/>
        <w:spacing w:after="0"/>
        <w:jc w:val="both"/>
        <w:rPr>
          <w:color w:val="000000"/>
        </w:rPr>
      </w:pPr>
    </w:p>
    <w:p w:rsidR="00FA782D" w:rsidRDefault="00FA782D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Rodada de informes sobre os trabalhos das </w:t>
      </w:r>
      <w:proofErr w:type="spellStart"/>
      <w:r>
        <w:rPr>
          <w:b/>
          <w:color w:val="000000"/>
        </w:rPr>
        <w:t>CTs</w:t>
      </w:r>
      <w:proofErr w:type="spellEnd"/>
      <w:r>
        <w:rPr>
          <w:b/>
          <w:color w:val="000000"/>
        </w:rPr>
        <w:t>:</w:t>
      </w:r>
    </w:p>
    <w:p w:rsidR="00270117" w:rsidRDefault="00FA782D">
      <w:pPr>
        <w:spacing w:after="0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 xml:space="preserve">. </w:t>
      </w:r>
      <w:r w:rsidR="00405D35">
        <w:rPr>
          <w:color w:val="000000"/>
        </w:rPr>
        <w:t>Trabalhar com responsabilidade e cautela para evitar a</w:t>
      </w:r>
      <w:r>
        <w:rPr>
          <w:color w:val="000000"/>
        </w:rPr>
        <w:t>provar documentos dos quais nos arrependeremos depois;</w:t>
      </w:r>
    </w:p>
    <w:p w:rsidR="00270117" w:rsidRDefault="00FA782D">
      <w:pPr>
        <w:spacing w:after="0"/>
        <w:rPr>
          <w:color w:val="000000"/>
        </w:rPr>
      </w:pPr>
      <w:r>
        <w:rPr>
          <w:color w:val="000000"/>
        </w:rPr>
        <w:t xml:space="preserve">. </w:t>
      </w:r>
      <w:r w:rsidR="00405D35">
        <w:rPr>
          <w:color w:val="000000"/>
        </w:rPr>
        <w:t xml:space="preserve">Atualização do Cardápio de Opções por todas as </w:t>
      </w:r>
      <w:proofErr w:type="spellStart"/>
      <w:r w:rsidR="00405D35">
        <w:rPr>
          <w:color w:val="000000"/>
        </w:rPr>
        <w:t>CTs</w:t>
      </w:r>
      <w:proofErr w:type="spellEnd"/>
      <w:r w:rsidR="00405D35">
        <w:rPr>
          <w:color w:val="000000"/>
        </w:rPr>
        <w:t xml:space="preserve"> setoriais (1 a 5)</w:t>
      </w:r>
    </w:p>
    <w:p w:rsidR="00270117" w:rsidRDefault="00405D35">
      <w:pPr>
        <w:spacing w:after="0"/>
        <w:rPr>
          <w:color w:val="000000"/>
        </w:rPr>
      </w:pPr>
      <w:r>
        <w:rPr>
          <w:color w:val="000000"/>
        </w:rPr>
        <w:t xml:space="preserve">. Rodada de reuniões de sinergia entre as </w:t>
      </w:r>
      <w:proofErr w:type="spellStart"/>
      <w:r>
        <w:rPr>
          <w:color w:val="000000"/>
        </w:rPr>
        <w:t>CTs</w:t>
      </w:r>
      <w:proofErr w:type="spellEnd"/>
      <w:r>
        <w:rPr>
          <w:color w:val="000000"/>
        </w:rPr>
        <w:t xml:space="preserve"> 2, 3, 4 e 5 para discutir ações conjuntas e dissensos na matriz de referência e posteriormente documento a ser entregue em outubro.</w:t>
      </w:r>
    </w:p>
    <w:p w:rsidR="00270117" w:rsidRDefault="00405D35">
      <w:pPr>
        <w:spacing w:after="0"/>
        <w:rPr>
          <w:color w:val="000000"/>
        </w:rPr>
      </w:pPr>
      <w:r>
        <w:rPr>
          <w:color w:val="000000"/>
        </w:rPr>
        <w:t xml:space="preserve"> . Nova reunião de coordenadores antes da compilação pela Secretaria Executiva para discutir as trajetórias indicadas em hierarquização/priorização das medidas.</w:t>
      </w:r>
    </w:p>
    <w:p w:rsidR="00FA782D" w:rsidRDefault="00405D35">
      <w:pPr>
        <w:rPr>
          <w:color w:val="000000"/>
        </w:rPr>
      </w:pPr>
      <w:r>
        <w:rPr>
          <w:color w:val="000000"/>
        </w:rPr>
        <w:t>. Casa Civil reforçar convite para outros setores do governo que não estejam suficientemente envolvidos – exemplo MAPA</w:t>
      </w:r>
      <w:r w:rsidR="00FA782D">
        <w:rPr>
          <w:color w:val="000000"/>
        </w:rPr>
        <w:t>.</w:t>
      </w:r>
    </w:p>
    <w:p w:rsidR="00FA782D" w:rsidRDefault="00FA782D">
      <w:pPr>
        <w:rPr>
          <w:color w:val="000000"/>
        </w:rPr>
      </w:pPr>
    </w:p>
    <w:p w:rsidR="00FA782D" w:rsidRDefault="00FA782D">
      <w:pPr>
        <w:rPr>
          <w:color w:val="000000"/>
        </w:rPr>
      </w:pPr>
      <w:r>
        <w:rPr>
          <w:color w:val="000000"/>
        </w:rPr>
        <w:t xml:space="preserve">Participantes: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5"/>
        <w:gridCol w:w="2201"/>
        <w:gridCol w:w="2065"/>
        <w:gridCol w:w="3821"/>
      </w:tblGrid>
      <w:tr w:rsidR="008A1C02" w:rsidRPr="008A1C02" w:rsidTr="008A1C02">
        <w:trPr>
          <w:trHeight w:val="828"/>
        </w:trPr>
        <w:tc>
          <w:tcPr>
            <w:tcW w:w="2518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FBMC</w:t>
            </w:r>
          </w:p>
        </w:tc>
        <w:tc>
          <w:tcPr>
            <w:tcW w:w="2222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Secretaria Executiva</w:t>
            </w:r>
          </w:p>
        </w:tc>
        <w:tc>
          <w:tcPr>
            <w:tcW w:w="2167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Natalie Unterstell</w:t>
            </w:r>
          </w:p>
        </w:tc>
        <w:tc>
          <w:tcPr>
            <w:tcW w:w="3821" w:type="dxa"/>
          </w:tcPr>
          <w:p w:rsidR="008A1C02" w:rsidRPr="008A1C02" w:rsidRDefault="00EB0240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hyperlink r:id="rId7" w:history="1">
              <w:r w:rsidR="008A1C02" w:rsidRPr="008A1C02">
                <w:rPr>
                  <w:rStyle w:val="Hyperlink"/>
                </w:rPr>
                <w:t>natalieunterstell@gmailc.com</w:t>
              </w:r>
            </w:hyperlink>
          </w:p>
        </w:tc>
      </w:tr>
      <w:tr w:rsidR="008A1C02" w:rsidRPr="008A1C02" w:rsidTr="008A1C02">
        <w:trPr>
          <w:trHeight w:val="828"/>
        </w:trPr>
        <w:tc>
          <w:tcPr>
            <w:tcW w:w="2518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FBMC</w:t>
            </w:r>
          </w:p>
        </w:tc>
        <w:tc>
          <w:tcPr>
            <w:tcW w:w="2222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Secretaria Executiva</w:t>
            </w:r>
          </w:p>
        </w:tc>
        <w:tc>
          <w:tcPr>
            <w:tcW w:w="2167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Alfredo Sirkis</w:t>
            </w:r>
          </w:p>
        </w:tc>
        <w:tc>
          <w:tcPr>
            <w:tcW w:w="3821" w:type="dxa"/>
          </w:tcPr>
          <w:p w:rsidR="008A1C02" w:rsidRPr="008A1C02" w:rsidRDefault="00EB0240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hyperlink r:id="rId8" w:history="1">
              <w:r w:rsidR="008A1C02" w:rsidRPr="008A1C02">
                <w:rPr>
                  <w:rStyle w:val="Hyperlink"/>
                </w:rPr>
                <w:t>marciabandeira.sirkis@gmail.com</w:t>
              </w:r>
            </w:hyperlink>
          </w:p>
        </w:tc>
      </w:tr>
      <w:tr w:rsidR="008A1C02" w:rsidRPr="008A1C02" w:rsidTr="008A1C02">
        <w:trPr>
          <w:trHeight w:val="828"/>
        </w:trPr>
        <w:tc>
          <w:tcPr>
            <w:tcW w:w="2518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lastRenderedPageBreak/>
              <w:t>FBMC</w:t>
            </w:r>
          </w:p>
        </w:tc>
        <w:tc>
          <w:tcPr>
            <w:tcW w:w="2222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Engajamento</w:t>
            </w:r>
          </w:p>
        </w:tc>
        <w:tc>
          <w:tcPr>
            <w:tcW w:w="2167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Cassia Moraes</w:t>
            </w:r>
          </w:p>
        </w:tc>
        <w:tc>
          <w:tcPr>
            <w:tcW w:w="3821" w:type="dxa"/>
          </w:tcPr>
          <w:p w:rsidR="008A1C02" w:rsidRPr="008A1C02" w:rsidRDefault="00EB0240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hyperlink r:id="rId9" w:history="1">
              <w:r w:rsidR="008A1C02" w:rsidRPr="008A1C02">
                <w:rPr>
                  <w:rStyle w:val="Hyperlink"/>
                </w:rPr>
                <w:t>com2110@columbia.edu</w:t>
              </w:r>
            </w:hyperlink>
          </w:p>
        </w:tc>
      </w:tr>
      <w:tr w:rsidR="008A1C02" w:rsidRPr="008A1C02" w:rsidTr="008A1C02">
        <w:trPr>
          <w:trHeight w:val="828"/>
        </w:trPr>
        <w:tc>
          <w:tcPr>
            <w:tcW w:w="2518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FBMC</w:t>
            </w:r>
          </w:p>
        </w:tc>
        <w:tc>
          <w:tcPr>
            <w:tcW w:w="2222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Engajamento</w:t>
            </w:r>
          </w:p>
        </w:tc>
        <w:tc>
          <w:tcPr>
            <w:tcW w:w="2167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Sabrina Leme</w:t>
            </w:r>
          </w:p>
        </w:tc>
        <w:tc>
          <w:tcPr>
            <w:tcW w:w="3821" w:type="dxa"/>
          </w:tcPr>
          <w:p w:rsidR="008A1C02" w:rsidRPr="008A1C02" w:rsidRDefault="00EB0240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hyperlink r:id="rId10" w:history="1">
              <w:r w:rsidR="008A1C02" w:rsidRPr="008A1C02">
                <w:rPr>
                  <w:rStyle w:val="Hyperlink"/>
                </w:rPr>
                <w:t>sabrina.lissa@gmail.com</w:t>
              </w:r>
            </w:hyperlink>
          </w:p>
        </w:tc>
      </w:tr>
      <w:tr w:rsidR="008A1C02" w:rsidRPr="008A1C02" w:rsidTr="008A1C02">
        <w:trPr>
          <w:trHeight w:val="828"/>
        </w:trPr>
        <w:tc>
          <w:tcPr>
            <w:tcW w:w="2518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 xml:space="preserve">CT 1 Agropecuária, </w:t>
            </w:r>
            <w:proofErr w:type="spellStart"/>
            <w:r w:rsidRPr="008A1C02">
              <w:rPr>
                <w:color w:val="000000"/>
              </w:rPr>
              <w:t>Bioversidade</w:t>
            </w:r>
            <w:proofErr w:type="spellEnd"/>
            <w:r w:rsidRPr="008A1C02">
              <w:rPr>
                <w:color w:val="000000"/>
              </w:rPr>
              <w:t xml:space="preserve"> e Florestas</w:t>
            </w:r>
          </w:p>
        </w:tc>
        <w:tc>
          <w:tcPr>
            <w:tcW w:w="2222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UFMG</w:t>
            </w:r>
          </w:p>
        </w:tc>
        <w:tc>
          <w:tcPr>
            <w:tcW w:w="2167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proofErr w:type="spellStart"/>
            <w:r w:rsidRPr="008A1C02">
              <w:rPr>
                <w:color w:val="000000"/>
              </w:rPr>
              <w:t>Raoni</w:t>
            </w:r>
            <w:proofErr w:type="spellEnd"/>
            <w:r w:rsidRPr="008A1C02">
              <w:rPr>
                <w:color w:val="000000"/>
              </w:rPr>
              <w:t xml:space="preserve"> Rajão</w:t>
            </w:r>
          </w:p>
        </w:tc>
        <w:tc>
          <w:tcPr>
            <w:tcW w:w="3821" w:type="dxa"/>
          </w:tcPr>
          <w:p w:rsidR="008A1C02" w:rsidRPr="008A1C02" w:rsidRDefault="00EB0240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hyperlink r:id="rId11" w:history="1">
              <w:r w:rsidR="008A1C02" w:rsidRPr="008A1C02">
                <w:rPr>
                  <w:rStyle w:val="Hyperlink"/>
                </w:rPr>
                <w:t>rajao@ufmg.br</w:t>
              </w:r>
            </w:hyperlink>
          </w:p>
        </w:tc>
      </w:tr>
      <w:tr w:rsidR="008A1C02" w:rsidRPr="008A1C02" w:rsidTr="008A1C02">
        <w:trPr>
          <w:trHeight w:val="828"/>
        </w:trPr>
        <w:tc>
          <w:tcPr>
            <w:tcW w:w="2518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CT 2 Energia</w:t>
            </w:r>
          </w:p>
        </w:tc>
        <w:tc>
          <w:tcPr>
            <w:tcW w:w="2222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EPE</w:t>
            </w:r>
          </w:p>
        </w:tc>
        <w:tc>
          <w:tcPr>
            <w:tcW w:w="2167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 xml:space="preserve">Ricardo </w:t>
            </w:r>
            <w:proofErr w:type="spellStart"/>
            <w:r w:rsidRPr="008A1C02">
              <w:rPr>
                <w:color w:val="000000"/>
              </w:rPr>
              <w:t>Gorini</w:t>
            </w:r>
            <w:proofErr w:type="spellEnd"/>
          </w:p>
        </w:tc>
        <w:tc>
          <w:tcPr>
            <w:tcW w:w="3821" w:type="dxa"/>
          </w:tcPr>
          <w:p w:rsidR="008A1C02" w:rsidRPr="008A1C02" w:rsidRDefault="00EB0240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hyperlink r:id="rId12" w:history="1">
              <w:r w:rsidR="008A1C02" w:rsidRPr="008A1C02">
                <w:rPr>
                  <w:rStyle w:val="Hyperlink"/>
                </w:rPr>
                <w:t>ricardo.gorini@epe.gov.br</w:t>
              </w:r>
            </w:hyperlink>
          </w:p>
        </w:tc>
      </w:tr>
      <w:tr w:rsidR="008A1C02" w:rsidRPr="008A1C02" w:rsidTr="008A1C02">
        <w:trPr>
          <w:trHeight w:val="828"/>
        </w:trPr>
        <w:tc>
          <w:tcPr>
            <w:tcW w:w="2518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CT 3 Transportes</w:t>
            </w:r>
          </w:p>
        </w:tc>
        <w:tc>
          <w:tcPr>
            <w:tcW w:w="2222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CBC</w:t>
            </w:r>
          </w:p>
        </w:tc>
        <w:tc>
          <w:tcPr>
            <w:tcW w:w="2167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 xml:space="preserve">Roberto </w:t>
            </w:r>
            <w:proofErr w:type="spellStart"/>
            <w:r w:rsidRPr="008A1C02">
              <w:rPr>
                <w:color w:val="000000"/>
              </w:rPr>
              <w:t>Vámos</w:t>
            </w:r>
            <w:proofErr w:type="spellEnd"/>
          </w:p>
        </w:tc>
        <w:tc>
          <w:tcPr>
            <w:tcW w:w="3821" w:type="dxa"/>
          </w:tcPr>
          <w:p w:rsidR="008A1C02" w:rsidRPr="008A1C02" w:rsidRDefault="00EB0240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hyperlink r:id="rId13" w:history="1">
              <w:r w:rsidR="008A1C02" w:rsidRPr="008A1C02">
                <w:rPr>
                  <w:rStyle w:val="Hyperlink"/>
                </w:rPr>
                <w:t>rzkvamos@gmail.com</w:t>
              </w:r>
            </w:hyperlink>
          </w:p>
        </w:tc>
      </w:tr>
      <w:tr w:rsidR="008A1C02" w:rsidRPr="008A1C02" w:rsidTr="008A1C02">
        <w:trPr>
          <w:trHeight w:val="828"/>
        </w:trPr>
        <w:tc>
          <w:tcPr>
            <w:tcW w:w="2518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CT 4 Indústria</w:t>
            </w:r>
          </w:p>
        </w:tc>
        <w:tc>
          <w:tcPr>
            <w:tcW w:w="2222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CNI</w:t>
            </w:r>
          </w:p>
        </w:tc>
        <w:tc>
          <w:tcPr>
            <w:tcW w:w="2167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 xml:space="preserve">Marcos Vinicius </w:t>
            </w:r>
            <w:proofErr w:type="spellStart"/>
            <w:r w:rsidRPr="008A1C02">
              <w:rPr>
                <w:color w:val="000000"/>
              </w:rPr>
              <w:t>Cantarino</w:t>
            </w:r>
            <w:proofErr w:type="spellEnd"/>
          </w:p>
        </w:tc>
        <w:tc>
          <w:tcPr>
            <w:tcW w:w="3821" w:type="dxa"/>
          </w:tcPr>
          <w:p w:rsidR="008A1C02" w:rsidRPr="008A1C02" w:rsidRDefault="00EB0240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hyperlink r:id="rId14" w:history="1">
              <w:r w:rsidR="008A1C02" w:rsidRPr="008A1C02">
                <w:rPr>
                  <w:rStyle w:val="Hyperlink"/>
                </w:rPr>
                <w:t>marcos.cantarino@cni.org.br</w:t>
              </w:r>
            </w:hyperlink>
          </w:p>
        </w:tc>
      </w:tr>
      <w:tr w:rsidR="008A1C02" w:rsidRPr="008A1C02" w:rsidTr="008A1C02">
        <w:trPr>
          <w:trHeight w:val="828"/>
        </w:trPr>
        <w:tc>
          <w:tcPr>
            <w:tcW w:w="2518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CT 4 Indústria</w:t>
            </w:r>
          </w:p>
        </w:tc>
        <w:tc>
          <w:tcPr>
            <w:tcW w:w="2222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MDIC</w:t>
            </w:r>
          </w:p>
        </w:tc>
        <w:tc>
          <w:tcPr>
            <w:tcW w:w="2167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Gustavo Saboia Fontenele e Silva</w:t>
            </w:r>
          </w:p>
        </w:tc>
        <w:tc>
          <w:tcPr>
            <w:tcW w:w="3821" w:type="dxa"/>
          </w:tcPr>
          <w:p w:rsidR="008A1C02" w:rsidRPr="008A1C02" w:rsidRDefault="00EB0240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hyperlink r:id="rId15" w:history="1">
              <w:r w:rsidR="008A1C02" w:rsidRPr="008A1C02">
                <w:rPr>
                  <w:rStyle w:val="Hyperlink"/>
                </w:rPr>
                <w:t>gustavo.silva@mdic.gov.br</w:t>
              </w:r>
            </w:hyperlink>
          </w:p>
        </w:tc>
      </w:tr>
      <w:tr w:rsidR="008A1C02" w:rsidRPr="008A1C02" w:rsidTr="008A1C02">
        <w:trPr>
          <w:trHeight w:val="828"/>
        </w:trPr>
        <w:tc>
          <w:tcPr>
            <w:tcW w:w="2518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CT 5 Cidades e Resíduos</w:t>
            </w:r>
          </w:p>
        </w:tc>
        <w:tc>
          <w:tcPr>
            <w:tcW w:w="2222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WWF</w:t>
            </w:r>
          </w:p>
        </w:tc>
        <w:tc>
          <w:tcPr>
            <w:tcW w:w="2167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Eduardo Canina</w:t>
            </w:r>
          </w:p>
        </w:tc>
        <w:tc>
          <w:tcPr>
            <w:tcW w:w="3821" w:type="dxa"/>
          </w:tcPr>
          <w:p w:rsidR="008A1C02" w:rsidRPr="008A1C02" w:rsidRDefault="00EB0240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hyperlink r:id="rId16" w:history="1">
              <w:r w:rsidR="008A1C02" w:rsidRPr="008A1C02">
                <w:rPr>
                  <w:rStyle w:val="Hyperlink"/>
                </w:rPr>
                <w:t>eduardocanina@wwf.org.br</w:t>
              </w:r>
            </w:hyperlink>
          </w:p>
        </w:tc>
      </w:tr>
      <w:tr w:rsidR="008A1C02" w:rsidRPr="008A1C02" w:rsidTr="008A1C02">
        <w:trPr>
          <w:trHeight w:val="828"/>
        </w:trPr>
        <w:tc>
          <w:tcPr>
            <w:tcW w:w="2518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CT 5 Cidades e Resíduos</w:t>
            </w:r>
          </w:p>
        </w:tc>
        <w:tc>
          <w:tcPr>
            <w:tcW w:w="2222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WRI</w:t>
            </w:r>
          </w:p>
        </w:tc>
        <w:tc>
          <w:tcPr>
            <w:tcW w:w="2167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 xml:space="preserve">Daniela </w:t>
            </w:r>
            <w:proofErr w:type="spellStart"/>
            <w:r w:rsidRPr="008A1C02">
              <w:rPr>
                <w:color w:val="000000"/>
              </w:rPr>
              <w:t>Cassel</w:t>
            </w:r>
            <w:proofErr w:type="spellEnd"/>
          </w:p>
        </w:tc>
        <w:tc>
          <w:tcPr>
            <w:tcW w:w="3821" w:type="dxa"/>
          </w:tcPr>
          <w:p w:rsidR="008A1C02" w:rsidRPr="008A1C02" w:rsidRDefault="00EB0240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hyperlink r:id="rId17" w:history="1">
              <w:r w:rsidR="008A1C02" w:rsidRPr="008A1C02">
                <w:rPr>
                  <w:rStyle w:val="Hyperlink"/>
                </w:rPr>
                <w:t>Daniela.Cassel@wri.org</w:t>
              </w:r>
            </w:hyperlink>
          </w:p>
        </w:tc>
      </w:tr>
      <w:tr w:rsidR="008A1C02" w:rsidRPr="008A1C02" w:rsidTr="008A1C02">
        <w:trPr>
          <w:trHeight w:val="828"/>
        </w:trPr>
        <w:tc>
          <w:tcPr>
            <w:tcW w:w="2518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CT 8 Visão de Longo Prazo</w:t>
            </w:r>
          </w:p>
        </w:tc>
        <w:tc>
          <w:tcPr>
            <w:tcW w:w="2222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IIS</w:t>
            </w:r>
          </w:p>
        </w:tc>
        <w:tc>
          <w:tcPr>
            <w:tcW w:w="2167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Branca Americano</w:t>
            </w:r>
          </w:p>
        </w:tc>
        <w:tc>
          <w:tcPr>
            <w:tcW w:w="3821" w:type="dxa"/>
          </w:tcPr>
          <w:p w:rsidR="008A1C02" w:rsidRPr="008A1C02" w:rsidRDefault="00EB0240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hyperlink r:id="rId18" w:history="1">
              <w:r w:rsidR="008A1C02" w:rsidRPr="008A1C02">
                <w:rPr>
                  <w:rStyle w:val="Hyperlink"/>
                </w:rPr>
                <w:t>branca.americano@gmail.com</w:t>
              </w:r>
            </w:hyperlink>
          </w:p>
        </w:tc>
      </w:tr>
      <w:tr w:rsidR="008A1C02" w:rsidTr="008A1C02">
        <w:trPr>
          <w:trHeight w:val="828"/>
        </w:trPr>
        <w:tc>
          <w:tcPr>
            <w:tcW w:w="2518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CT 10 Adaptação</w:t>
            </w:r>
          </w:p>
        </w:tc>
        <w:tc>
          <w:tcPr>
            <w:tcW w:w="2222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>IIS Desenvolvimento</w:t>
            </w:r>
          </w:p>
        </w:tc>
        <w:tc>
          <w:tcPr>
            <w:tcW w:w="2167" w:type="dxa"/>
          </w:tcPr>
          <w:p w:rsidR="008A1C02" w:rsidRPr="008A1C02" w:rsidRDefault="008A1C02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8A1C02">
              <w:rPr>
                <w:color w:val="000000"/>
              </w:rPr>
              <w:t xml:space="preserve">Sérgio </w:t>
            </w:r>
            <w:proofErr w:type="spellStart"/>
            <w:r w:rsidRPr="008A1C02">
              <w:rPr>
                <w:color w:val="000000"/>
              </w:rPr>
              <w:t>Margulis</w:t>
            </w:r>
            <w:proofErr w:type="spellEnd"/>
          </w:p>
        </w:tc>
        <w:tc>
          <w:tcPr>
            <w:tcW w:w="3821" w:type="dxa"/>
          </w:tcPr>
          <w:p w:rsidR="008A1C02" w:rsidRDefault="00EB0240" w:rsidP="00771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hyperlink r:id="rId19" w:history="1">
              <w:r w:rsidR="008A1C02" w:rsidRPr="008A1C02">
                <w:rPr>
                  <w:rStyle w:val="Hyperlink"/>
                </w:rPr>
                <w:t>margulis.sergio@gmail.com</w:t>
              </w:r>
            </w:hyperlink>
          </w:p>
        </w:tc>
      </w:tr>
    </w:tbl>
    <w:p w:rsidR="008A1C02" w:rsidRDefault="008A1C02" w:rsidP="008A1C02">
      <w:pPr>
        <w:rPr>
          <w:color w:val="000000"/>
        </w:rPr>
      </w:pPr>
    </w:p>
    <w:sectPr w:rsidR="008A1C02">
      <w:headerReference w:type="default" r:id="rId20"/>
      <w:footerReference w:type="default" r:id="rId21"/>
      <w:footerReference w:type="first" r:id="rId22"/>
      <w:pgSz w:w="12240" w:h="15840"/>
      <w:pgMar w:top="1080" w:right="864" w:bottom="1584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40" w:rsidRDefault="00EB0240">
      <w:pPr>
        <w:spacing w:after="0" w:line="240" w:lineRule="auto"/>
      </w:pPr>
      <w:r>
        <w:separator/>
      </w:r>
    </w:p>
  </w:endnote>
  <w:endnote w:type="continuationSeparator" w:id="0">
    <w:p w:rsidR="00EB0240" w:rsidRDefault="00EB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B024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B024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40" w:rsidRDefault="00EB0240">
      <w:pPr>
        <w:spacing w:after="0" w:line="240" w:lineRule="auto"/>
      </w:pPr>
      <w:r>
        <w:separator/>
      </w:r>
    </w:p>
  </w:footnote>
  <w:footnote w:type="continuationSeparator" w:id="0">
    <w:p w:rsidR="00EB0240" w:rsidRDefault="00EB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B0240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49C"/>
    <w:multiLevelType w:val="multilevel"/>
    <w:tmpl w:val="1436B8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7EF6"/>
    <w:multiLevelType w:val="multilevel"/>
    <w:tmpl w:val="F51AA2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0EDC"/>
    <w:multiLevelType w:val="multilevel"/>
    <w:tmpl w:val="7DF80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5B9A"/>
    <w:multiLevelType w:val="multilevel"/>
    <w:tmpl w:val="DDC68A36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8CE5BB5"/>
    <w:multiLevelType w:val="multilevel"/>
    <w:tmpl w:val="FA0E8E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7280C"/>
    <w:multiLevelType w:val="multilevel"/>
    <w:tmpl w:val="0C6027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D623E9C"/>
    <w:multiLevelType w:val="multilevel"/>
    <w:tmpl w:val="479CAD64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32F419E"/>
    <w:multiLevelType w:val="multilevel"/>
    <w:tmpl w:val="12E071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5EBD"/>
    <w:multiLevelType w:val="multilevel"/>
    <w:tmpl w:val="609A4ABC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4CD6AC1"/>
    <w:multiLevelType w:val="multilevel"/>
    <w:tmpl w:val="881C1FA6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96C1FAF"/>
    <w:multiLevelType w:val="multilevel"/>
    <w:tmpl w:val="78DE46A8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B4A2A2D"/>
    <w:multiLevelType w:val="multilevel"/>
    <w:tmpl w:val="502C12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D2F5091"/>
    <w:multiLevelType w:val="multilevel"/>
    <w:tmpl w:val="4724A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4E069A2"/>
    <w:multiLevelType w:val="multilevel"/>
    <w:tmpl w:val="78DC2FC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B0F142D"/>
    <w:multiLevelType w:val="multilevel"/>
    <w:tmpl w:val="928C926A"/>
    <w:lvl w:ilvl="0">
      <w:start w:val="1"/>
      <w:numFmt w:val="bullet"/>
      <w:lvlText w:val="•"/>
      <w:lvlJc w:val="left"/>
      <w:pPr>
        <w:ind w:left="1440" w:hanging="360"/>
      </w:pPr>
    </w:lvl>
    <w:lvl w:ilvl="1">
      <w:start w:val="1"/>
      <w:numFmt w:val="decimal"/>
      <w:lvlText w:val=""/>
      <w:lvlJc w:val="left"/>
      <w:pPr>
        <w:ind w:left="720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720" w:firstLine="0"/>
      </w:pPr>
    </w:lvl>
    <w:lvl w:ilvl="4">
      <w:start w:val="1"/>
      <w:numFmt w:val="decimal"/>
      <w:lvlText w:val=""/>
      <w:lvlJc w:val="left"/>
      <w:pPr>
        <w:ind w:left="720" w:firstLine="0"/>
      </w:pPr>
    </w:lvl>
    <w:lvl w:ilvl="5">
      <w:start w:val="1"/>
      <w:numFmt w:val="decimal"/>
      <w:lvlText w:val=""/>
      <w:lvlJc w:val="left"/>
      <w:pPr>
        <w:ind w:left="720" w:firstLine="0"/>
      </w:pPr>
    </w:lvl>
    <w:lvl w:ilvl="6">
      <w:start w:val="1"/>
      <w:numFmt w:val="decimal"/>
      <w:lvlText w:val=""/>
      <w:lvlJc w:val="left"/>
      <w:pPr>
        <w:ind w:left="720" w:firstLine="0"/>
      </w:pPr>
    </w:lvl>
    <w:lvl w:ilvl="7">
      <w:start w:val="1"/>
      <w:numFmt w:val="decimal"/>
      <w:lvlText w:val=""/>
      <w:lvlJc w:val="left"/>
      <w:pPr>
        <w:ind w:left="720" w:firstLine="0"/>
      </w:pPr>
    </w:lvl>
    <w:lvl w:ilvl="8">
      <w:start w:val="1"/>
      <w:numFmt w:val="decimal"/>
      <w:lvlText w:val=""/>
      <w:lvlJc w:val="left"/>
      <w:pPr>
        <w:ind w:left="720" w:firstLine="0"/>
      </w:pPr>
    </w:lvl>
  </w:abstractNum>
  <w:abstractNum w:abstractNumId="15" w15:restartNumberingAfterBreak="0">
    <w:nsid w:val="5BB3304B"/>
    <w:multiLevelType w:val="multilevel"/>
    <w:tmpl w:val="F8F43DEA"/>
    <w:lvl w:ilvl="0">
      <w:start w:val="3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6484775B"/>
    <w:multiLevelType w:val="multilevel"/>
    <w:tmpl w:val="499A2D0A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6F20BF9"/>
    <w:multiLevelType w:val="multilevel"/>
    <w:tmpl w:val="039236F2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7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16"/>
  </w:num>
  <w:num w:numId="12">
    <w:abstractNumId w:val="6"/>
  </w:num>
  <w:num w:numId="13">
    <w:abstractNumId w:val="9"/>
  </w:num>
  <w:num w:numId="14">
    <w:abstractNumId w:val="12"/>
  </w:num>
  <w:num w:numId="15">
    <w:abstractNumId w:val="15"/>
  </w:num>
  <w:num w:numId="16">
    <w:abstractNumId w:val="1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17"/>
    <w:rsid w:val="000169ED"/>
    <w:rsid w:val="00270117"/>
    <w:rsid w:val="00282AAE"/>
    <w:rsid w:val="00405D35"/>
    <w:rsid w:val="00641CE3"/>
    <w:rsid w:val="006C3180"/>
    <w:rsid w:val="008A1C02"/>
    <w:rsid w:val="00A23F4B"/>
    <w:rsid w:val="00EB0240"/>
    <w:rsid w:val="00FA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F0A7E-851B-4B9A-8B6F-4E70FC83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424996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60"/>
      <w:contextualSpacing/>
      <w:outlineLvl w:val="0"/>
    </w:pPr>
    <w:rPr>
      <w:b/>
      <w:color w:val="2F356C"/>
      <w:sz w:val="44"/>
      <w:szCs w:val="4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340" w:after="120"/>
      <w:contextualSpacing/>
      <w:outlineLvl w:val="3"/>
    </w:pPr>
    <w:rPr>
      <w:color w:val="4A66AC"/>
    </w:rPr>
  </w:style>
  <w:style w:type="paragraph" w:styleId="Ttulo5">
    <w:name w:val="heading 5"/>
    <w:basedOn w:val="Normal"/>
    <w:next w:val="Normal"/>
    <w:pPr>
      <w:keepNext/>
      <w:keepLines/>
      <w:spacing w:before="340" w:after="120"/>
      <w:contextualSpacing/>
      <w:outlineLvl w:val="4"/>
    </w:pPr>
    <w:rPr>
      <w:i/>
      <w:color w:val="4A66AC"/>
    </w:rPr>
  </w:style>
  <w:style w:type="paragraph" w:styleId="Ttulo6">
    <w:name w:val="heading 6"/>
    <w:basedOn w:val="Normal"/>
    <w:next w:val="Normal"/>
    <w:pPr>
      <w:keepNext/>
      <w:keepLines/>
      <w:spacing w:before="340" w:after="120"/>
      <w:contextualSpacing/>
      <w:outlineLvl w:val="5"/>
    </w:pPr>
    <w:rPr>
      <w:b/>
      <w:color w:val="4A66AC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48" w:space="22" w:color="4A66AC"/>
      </w:pBdr>
      <w:spacing w:after="400" w:line="240" w:lineRule="auto"/>
      <w:contextualSpacing/>
    </w:pPr>
    <w:rPr>
      <w:b/>
      <w:color w:val="2F356C"/>
      <w:sz w:val="60"/>
      <w:szCs w:val="60"/>
    </w:rPr>
  </w:style>
  <w:style w:type="paragraph" w:styleId="Subttulo">
    <w:name w:val="Subtitle"/>
    <w:basedOn w:val="Normal"/>
    <w:next w:val="Normal"/>
    <w:pPr>
      <w:spacing w:after="480"/>
      <w:contextualSpacing/>
    </w:pPr>
    <w:rPr>
      <w:color w:val="4A66AC"/>
      <w:sz w:val="34"/>
      <w:szCs w:val="3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82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A1C0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bandeira.sirkis@gmail.com" TargetMode="External"/><Relationship Id="rId13" Type="http://schemas.openxmlformats.org/officeDocument/2006/relationships/hyperlink" Target="mailto:rzkvamos@gmail.com" TargetMode="External"/><Relationship Id="rId18" Type="http://schemas.openxmlformats.org/officeDocument/2006/relationships/hyperlink" Target="mailto:branca.americano@g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natalieunterstell@gmailc.com" TargetMode="External"/><Relationship Id="rId12" Type="http://schemas.openxmlformats.org/officeDocument/2006/relationships/hyperlink" Target="mailto:ricardo.gorini@epe.gov.br" TargetMode="External"/><Relationship Id="rId17" Type="http://schemas.openxmlformats.org/officeDocument/2006/relationships/hyperlink" Target="mailto:Daniela.Cassel@wri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eduardocanina@wwf.org.b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jao@ufmg.b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ustavo.silva@mdic.gov.b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brina.lissa@gmail.com" TargetMode="External"/><Relationship Id="rId19" Type="http://schemas.openxmlformats.org/officeDocument/2006/relationships/hyperlink" Target="mailto:margulis.sergi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2110@columbia.edu" TargetMode="External"/><Relationship Id="rId14" Type="http://schemas.openxmlformats.org/officeDocument/2006/relationships/hyperlink" Target="mailto:marcos.cantarino@cni.org.b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 Leme</cp:lastModifiedBy>
  <cp:revision>2</cp:revision>
  <dcterms:created xsi:type="dcterms:W3CDTF">2017-08-11T18:57:00Z</dcterms:created>
  <dcterms:modified xsi:type="dcterms:W3CDTF">2017-08-11T18:57:00Z</dcterms:modified>
</cp:coreProperties>
</file>